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30c58d810455e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48486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UMJETNIČKA ŠKOLA POREČ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689.624,22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760.122,09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110,2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645.832,81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824.894,87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127,7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64.772,78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29.919,25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12.700,07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29.919,25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12.700,07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42,4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77.472,85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Ukupan manjak prihoda i primitaka u iznosi od  77.472,85 eura odnosi se na plaće i naknade zaposlenima za razdoblje 6/2025. godine koje se knjiže po novom Pravilniku o proračunskom računovodstvu i računskom planu.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kraju izvještajnog razdoblja nema dospjelih obveza već su sve obveze nedospjele (šifra V009) u iznosu od 101.125,99 eura i 
odnose se na:
-    231 obveze za zaposlene, plaća za lipanj 2025. godine u iznosu od 92.994,39 eura koje će biti podmirene u srpnju 2025. godine,
-    232 obveze za materijalne rashode (naknade za prijevoz na rad, naknada za nezapošljavanje osoba s invaliditetom) u iznosu od 6.345,41 eura koje će biti podmirene u srpnju 2025. godine,
-    276 ostale tekuće obveze refundacija bolovanja i obveze za povrat više plaćenog poreza i prireza u iznosu 1.786,19 eura.
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9652b72624fa8" /></Relationships>
</file>