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ca3eff35a4ea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48486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UMJETNIČKA ŠKOLA POREČ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1.403.243,69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1.534.150,03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1.348.015,27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1.564.979,05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30.829,02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61.712,37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61.886,24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61.712,37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61.886,24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6.483,95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92.715,26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1429,9</w:t>
            </w:r>
          </w:p>
        </w:tc>
      </w:tr>
    </w:tbl>
    <w:p>
      <w:pPr>
        <w:spacing w:before="0" w:after="0"/>
      </w:pPr>
    </w:p>
    <w:p>
      <w:r>
        <w:t xml:space="preserve">Ostvaren je manjak prihoda poslovanja (92221) u iznosu od 30.829,02 eura i manjak prihoda od nefinancijske imovine (92222) u iznosu od 61.886,24 eura te je ukupan manjak prihoda (rezultat poslovanja) 92.715,26 eura a odnosi se na plaće i naknade zaposlenima za razdoblje 12/2025. godine koje se knjiže po novom Pravilniku o proračunskom računovodstvu i računskom planu. U 2025. godini evidentirana je zakonska korekcija rezultata za kapitalne rashode u iznosu od 58.697,35 eura koji utrošeni za nabavu dugotrajne imovine: - 67121–prihodi iz nadležnog proračuna za financiranje rashoda za nabavu nefinancijske imovine u iznosu od 29.466 eura, - 6362–pomoći proračunskim korisnicima iz proračuna koji im nije nadležan za nabavu nefinancijske imovine za potrebe područnog odjela škole u Vrsaru u iznosu od 27.612,00 eura i - 6632 – kapitalne donacije u iznosu od  1.619,00 euraZakonska korekcija rezultata provedena je na način da se iznos od 58.697,35 eura  zadužuje račun 92221 manjak prihoda poslovanja, a odobrava račun 92222 manjka prihoda od nefinancijske imovine. Školski odbor donijet će Odluku o korekciji i raspodjeli manjka prihoda od nefinancijske imovine u iznosu od 3.188,89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18.247,24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25.921,19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142,1</w:t>
            </w:r>
          </w:p>
        </w:tc>
      </w:tr>
    </w:tbl>
    <w:p>
      <w:pPr>
        <w:spacing w:before="0" w:after="0"/>
      </w:pPr>
    </w:p>
    <w:p>
      <w:r>
        <w:t xml:space="preserve">Porast rashoda za tekuće i investicijsko održavanje nastao je zbog održavanja i sanacije krova na zgradi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20.203,05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29.045,88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143,8</w:t>
            </w:r>
          </w:p>
        </w:tc>
      </w:tr>
    </w:tbl>
    <w:p>
      <w:pPr>
        <w:spacing w:before="0" w:after="0"/>
      </w:pPr>
    </w:p>
    <w:p>
      <w:r>
        <w:t xml:space="preserve">Rast intelektualnih usluga odnosi se na autorske honorare za održane koncerte povodom obilježavanja obljetnice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2.675,64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3.988,30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149,1</w:t>
            </w:r>
          </w:p>
        </w:tc>
      </w:tr>
    </w:tbl>
    <w:p>
      <w:pPr>
        <w:spacing w:before="0" w:after="0"/>
      </w:pPr>
    </w:p>
    <w:p>
      <w:r>
        <w:t xml:space="preserve">Porast naknada za rad predstavničkih i izvršnih tijela, povjerenstava i slično  rasao je zbog sjednica koje su odžane za riješavanje natječaja za ravnatelja.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2.463,73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1574,4</w:t>
            </w:r>
          </w:p>
        </w:tc>
      </w:tr>
    </w:tbl>
    <w:p>
      <w:pPr>
        <w:spacing w:before="0" w:after="0"/>
      </w:pPr>
    </w:p>
    <w:p>
      <w:r>
        <w:t xml:space="preserve">Školi je doniran mobilni uređaj.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860,62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1055,1</w:t>
            </w:r>
          </w:p>
        </w:tc>
      </w:tr>
    </w:tbl>
    <w:p>
      <w:pPr>
        <w:spacing w:before="0" w:after="0"/>
      </w:pPr>
    </w:p>
    <w:p>
      <w:r>
        <w:t xml:space="preserve">Rast potraživanja odnsoi se na bolovanja zaposlenika preko 42 dana.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- 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 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716,74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9.592,75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1338,4</w:t>
            </w:r>
          </w:p>
        </w:tc>
      </w:tr>
    </w:tbl>
    <w:p>
      <w:pPr>
        <w:spacing w:before="0" w:after="0"/>
      </w:pPr>
    </w:p>
    <w:p>
      <w:r>
        <w:t xml:space="preserve">Dospjele obveze na kraju izvještajnog razdoblja (šifra V007) u iznosu od 9.592,75 eura odnose se na materijalne rashode i nastali su zbog zbog dužeg bolovanja voditeljice računovodstva i nemogućnosti pronalaska pravovremene zamjene.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9.592,75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na kraju izvještajnog razdoblja (šifra V007) u iznosu od 9.592,75 eura odnose se na materijalne rashode i nastali su zbog zbog dužeg bolovanja voditeljice računovodstva i nemogućnosti pronalaska pravovremene zamjene.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49f51bd0264405" /></Relationships>
</file>